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CF" w:rsidRPr="008708CF" w:rsidRDefault="008708CF" w:rsidP="008708CF">
      <w:pPr>
        <w:spacing w:before="15" w:after="225" w:line="450" w:lineRule="atLeast"/>
        <w:jc w:val="center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8708CF">
        <w:rPr>
          <w:rFonts w:ascii="&amp;quot" w:eastAsia="Times New Roman" w:hAnsi="&amp;quot" w:cs="Times New Roman"/>
          <w:b/>
          <w:bCs/>
          <w:color w:val="000000"/>
          <w:kern w:val="36"/>
          <w:sz w:val="38"/>
          <w:szCs w:val="38"/>
          <w:lang w:eastAsia="ru-RU"/>
        </w:rPr>
        <w:t>Марки стали и область их применения AISI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В США наиболее распространенной маркировкой нержавеющей стали является </w:t>
      </w:r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AISI (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The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American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Iron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and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Steel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Institute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)</w:t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- это аббревиатура означает Американский Институт Стали и Чугуна.</w:t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  <w:t>Нержавеющие стали по AISI обозначают тремя цифрами. Первая указывает на класс нер</w:t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softHyphen/>
        <w:t>жавеющей стали, две последние цифры определяют порядковый номер стали в группе. В конце маркировки возможно несколько дополнительных буквенных символов.</w:t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8708CF" w:rsidRPr="008708CF" w:rsidRDefault="008708CF" w:rsidP="008708CF">
      <w:pPr>
        <w:spacing w:after="0" w:line="285" w:lineRule="atLeast"/>
        <w:jc w:val="center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ru-RU"/>
        </w:rPr>
        <w:t>В данном разделе указаны марки стали AISI и области их применения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8708CF" w:rsidRPr="008708CF" w:rsidRDefault="008708CF" w:rsidP="008708CF">
      <w:pPr>
        <w:spacing w:after="0" w:line="270" w:lineRule="atLeast"/>
        <w:jc w:val="center"/>
        <w:textAlignment w:val="top"/>
        <w:outlineLvl w:val="2"/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</w:pPr>
      <w:proofErr w:type="spellStart"/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>Аустенитная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 xml:space="preserve"> сталь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7230"/>
      </w:tblGrid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Многоцелевая (напр., конструкции оборудования для пищевой промышленности, кухонная утварь, профильная сталь, детали интерьеров и т.п.).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304L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Оборудование, находящееся под воздействием органических кислот, атомная промышленность, трубы, котлы. Элементы конструкций для пищевой и химической промышленности.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304H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Теплообменники, в печах для химической и нефтехимической промышленностей.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Для изготовления сварного оборудования в разных отраслях промышленности: трубы, детали печной арматуры, теплообменники, муфели, </w:t>
            </w:r>
            <w:proofErr w:type="spellStart"/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реторты,патрубки</w:t>
            </w:r>
            <w:proofErr w:type="spellEnd"/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и коллекторы выхлопных систем, электроды искровых </w:t>
            </w:r>
            <w:proofErr w:type="spellStart"/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зажигателей</w:t>
            </w:r>
            <w:proofErr w:type="spellEnd"/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321H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Теплообменники, для печей, котлов в химической и нефтехимической промышленностях.</w:t>
            </w:r>
          </w:p>
        </w:tc>
      </w:tr>
    </w:tbl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8708CF" w:rsidRPr="008708CF" w:rsidRDefault="008708CF" w:rsidP="008708CF">
      <w:pPr>
        <w:spacing w:after="0" w:line="270" w:lineRule="atLeast"/>
        <w:jc w:val="center"/>
        <w:textAlignment w:val="top"/>
        <w:outlineLvl w:val="2"/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</w:pPr>
      <w:proofErr w:type="spellStart"/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>Аустенитная</w:t>
      </w:r>
      <w:proofErr w:type="spellEnd"/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 xml:space="preserve"> сталь с молибденом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7230"/>
      </w:tblGrid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Элементы конструкций для текстильной промышленности, химическая промышленность.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316L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Конструкции и механизмы для химической и целлюлозной промышленности, трубы, котлы.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316H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Теплообменники, для печей, в химической и нефтехимической отраслях.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316Ti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Элементы конструкций для пищевой и химической промышленности, где присутствует трение и повышенная температура.</w:t>
            </w:r>
          </w:p>
        </w:tc>
      </w:tr>
    </w:tbl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8708CF" w:rsidRPr="008708CF" w:rsidRDefault="008708CF" w:rsidP="008708CF">
      <w:pPr>
        <w:spacing w:after="0" w:line="270" w:lineRule="atLeast"/>
        <w:jc w:val="center"/>
        <w:textAlignment w:val="top"/>
        <w:outlineLvl w:val="2"/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</w:pPr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>Жаропрочная сталь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7230"/>
      </w:tblGrid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310S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Конструкции для производственных печей, паровых котлов и нефтеперерабатывающих заводов.</w:t>
            </w:r>
          </w:p>
        </w:tc>
      </w:tr>
    </w:tbl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8708C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</w:p>
    <w:p w:rsidR="008708CF" w:rsidRPr="008708CF" w:rsidRDefault="008708CF" w:rsidP="008708CF">
      <w:pPr>
        <w:spacing w:after="0" w:line="270" w:lineRule="atLeast"/>
        <w:jc w:val="center"/>
        <w:textAlignment w:val="top"/>
        <w:outlineLvl w:val="2"/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</w:pPr>
      <w:r w:rsidRPr="008708CF">
        <w:rPr>
          <w:rFonts w:ascii="&amp;quot" w:eastAsia="Times New Roman" w:hAnsi="&amp;quot" w:cs="Times New Roman"/>
          <w:b/>
          <w:bCs/>
          <w:color w:val="103766"/>
          <w:sz w:val="27"/>
          <w:szCs w:val="27"/>
          <w:lang w:eastAsia="ru-RU"/>
        </w:rPr>
        <w:t>Ферритная сталь</w:t>
      </w:r>
    </w:p>
    <w:p w:rsidR="008708CF" w:rsidRPr="008708CF" w:rsidRDefault="008708CF" w:rsidP="008708CF">
      <w:pPr>
        <w:spacing w:after="0" w:line="285" w:lineRule="atLeast"/>
        <w:jc w:val="both"/>
        <w:textAlignment w:val="top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</w:p>
    <w:tbl>
      <w:tblPr>
        <w:tblW w:w="5000" w:type="pct"/>
        <w:tblCellSpacing w:w="0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7230"/>
      </w:tblGrid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Арматура, фитинги, режущие инструменты, столовые приборы, пустотелая сталь, декор для интерьеров.</w:t>
            </w:r>
          </w:p>
        </w:tc>
      </w:tr>
      <w:tr w:rsidR="008708CF" w:rsidRPr="008708CF" w:rsidTr="008708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430Ti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08CF" w:rsidRPr="008708CF" w:rsidRDefault="008708CF" w:rsidP="008708CF">
            <w:pPr>
              <w:spacing w:after="0" w:line="210" w:lineRule="atLeast"/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</w:pPr>
            <w:r w:rsidRPr="008708CF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Сварные конструкции, стиральные машины, ванны.</w:t>
            </w:r>
          </w:p>
        </w:tc>
      </w:tr>
    </w:tbl>
    <w:p w:rsidR="00281B7B" w:rsidRDefault="00281B7B">
      <w:bookmarkStart w:id="0" w:name="_GoBack"/>
      <w:bookmarkEnd w:id="0"/>
    </w:p>
    <w:sectPr w:rsidR="00281B7B" w:rsidSect="00870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CF"/>
    <w:rsid w:val="00281B7B"/>
    <w:rsid w:val="008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0E003-24EF-4ACD-82BC-8587385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Павел</dc:creator>
  <cp:keywords/>
  <dc:description/>
  <cp:lastModifiedBy>Воронцов Павел</cp:lastModifiedBy>
  <cp:revision>1</cp:revision>
  <dcterms:created xsi:type="dcterms:W3CDTF">2019-04-04T13:30:00Z</dcterms:created>
  <dcterms:modified xsi:type="dcterms:W3CDTF">2019-04-04T13:31:00Z</dcterms:modified>
</cp:coreProperties>
</file>